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262380"/>
                  <wp:effectExtent l="0" t="0" r="5715" b="1397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2302071-4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widowControl/>
              <w:shd w:val="clear" w:color="auto" w:fill="FFFFFF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（有组织废气、地下水）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588" name="_x0000_s113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_x0000_s113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070"/>
        <w:gridCol w:w="1683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2023-06-30</w:t>
            </w:r>
          </w:p>
        </w:tc>
      </w:tr>
    </w:tbl>
    <w:p>
      <w:pPr>
        <w:pStyle w:val="19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9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检测一览表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53"/>
        <w:gridCol w:w="1576"/>
        <w:gridCol w:w="4577"/>
        <w:gridCol w:w="1154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632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73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137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39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633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2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32" w:type="pct"/>
            <w:vMerge w:val="restar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</w:t>
            </w:r>
          </w:p>
        </w:tc>
        <w:tc>
          <w:tcPr>
            <w:tcW w:w="73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有组织废气DA001</w:t>
            </w:r>
          </w:p>
        </w:tc>
        <w:tc>
          <w:tcPr>
            <w:tcW w:w="2137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低浓度颗粒物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、挥发性有机物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 3次/天</w:t>
            </w:r>
          </w:p>
        </w:tc>
        <w:tc>
          <w:tcPr>
            <w:tcW w:w="633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滤膜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、气袋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20" w:type="pct"/>
            <w:vAlign w:val="center"/>
          </w:tcPr>
          <w:p>
            <w:pPr>
              <w:pStyle w:val="8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32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有组织废气DA002</w:t>
            </w:r>
          </w:p>
        </w:tc>
        <w:tc>
          <w:tcPr>
            <w:tcW w:w="2137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挥发性有机物、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N，N-二甲基甲酰胺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低浓度颗粒物</w:t>
            </w:r>
          </w:p>
        </w:tc>
        <w:tc>
          <w:tcPr>
            <w:tcW w:w="539" w:type="pct"/>
            <w:vMerge w:val="continue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气袋、吸收液、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20" w:type="pct"/>
            <w:vAlign w:val="center"/>
          </w:tcPr>
          <w:p>
            <w:pPr>
              <w:pStyle w:val="8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2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有组织废气DA003</w:t>
            </w:r>
          </w:p>
        </w:tc>
        <w:tc>
          <w:tcPr>
            <w:tcW w:w="2137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低浓度颗粒物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、挥发性有机物</w:t>
            </w:r>
          </w:p>
        </w:tc>
        <w:tc>
          <w:tcPr>
            <w:tcW w:w="539" w:type="pct"/>
            <w:vMerge w:val="continue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滤膜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、气袋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320" w:type="pct"/>
            <w:vAlign w:val="center"/>
          </w:tcPr>
          <w:p>
            <w:pPr>
              <w:pStyle w:val="8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32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地下水</w:t>
            </w:r>
          </w:p>
        </w:tc>
        <w:tc>
          <w:tcPr>
            <w:tcW w:w="736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厂区地下水</w:t>
            </w:r>
          </w:p>
        </w:tc>
        <w:tc>
          <w:tcPr>
            <w:tcW w:w="2137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色、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总硬度（以CaCO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  <w:lang w:bidi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计）、溶解性总固体、氯化物、挥发性酚类、阴离子表面活性剂、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耗氧量（COD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、氨氮（以N计）、总大肠菌群、亚硝酸盐（以N计）、硝酸盐（以N计）、氟化物、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en-US" w:bidi="zh-CN"/>
              </w:rPr>
              <w:t>镉、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铬（六价）、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总铬</w:t>
            </w:r>
          </w:p>
        </w:tc>
        <w:tc>
          <w:tcPr>
            <w:tcW w:w="539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1次/天 </w:t>
            </w:r>
          </w:p>
        </w:tc>
        <w:tc>
          <w:tcPr>
            <w:tcW w:w="633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无色无味无浮油液体</w:t>
            </w:r>
          </w:p>
        </w:tc>
      </w:tr>
    </w:tbl>
    <w:p>
      <w:pPr>
        <w:pStyle w:val="19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9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检测项目、方法及检出限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1"/>
        <w:gridCol w:w="1757"/>
        <w:gridCol w:w="594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tblHeader/>
          <w:jc w:val="center"/>
        </w:trPr>
        <w:tc>
          <w:tcPr>
            <w:tcW w:w="63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833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2819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71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restar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有组织废气</w:t>
            </w:r>
          </w:p>
        </w:tc>
        <w:tc>
          <w:tcPr>
            <w:tcW w:w="833" w:type="pct"/>
            <w:vAlign w:val="center"/>
          </w:tcPr>
          <w:p>
            <w:pPr>
              <w:pStyle w:val="76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N，N-二甲基甲酰胺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环境空气和废气 酰胺类化合物的测定 液相色谱法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801-2016</w:t>
            </w:r>
          </w:p>
        </w:tc>
        <w:tc>
          <w:tcPr>
            <w:tcW w:w="71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0.1mg/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76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低浓度颗粒物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固定污染源废气 低浓度颗粒物的测定 重量法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836-2017</w:t>
            </w:r>
          </w:p>
        </w:tc>
        <w:tc>
          <w:tcPr>
            <w:tcW w:w="710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76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固定污染源废气 总烃、甲烷和非甲烷总烃的测定 气相色谱法                           HJ 38-2017</w:t>
            </w:r>
          </w:p>
        </w:tc>
        <w:tc>
          <w:tcPr>
            <w:tcW w:w="710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mg/m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restar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地下水</w:t>
            </w:r>
          </w:p>
        </w:tc>
        <w:tc>
          <w:tcPr>
            <w:tcW w:w="833" w:type="pct"/>
            <w:vAlign w:val="center"/>
          </w:tcPr>
          <w:p>
            <w:pPr>
              <w:pStyle w:val="76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色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地下水质分析方法 第4部分：色度的测定 铂-钴标准比色法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DZ/T 0064.4-2021</w:t>
            </w:r>
          </w:p>
        </w:tc>
        <w:tc>
          <w:tcPr>
            <w:tcW w:w="710" w:type="pct"/>
            <w:vAlign w:val="center"/>
          </w:tcPr>
          <w:p>
            <w:pPr>
              <w:pStyle w:val="76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（无量纲）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pH值的测定 电极法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1147-2020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总硬度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地下水质分析方法 第15部分：总硬度的测定 乙二胺四乙酸二钠滴定法DZ/T 0064.15-2021</w:t>
            </w:r>
          </w:p>
        </w:tc>
        <w:tc>
          <w:tcPr>
            <w:tcW w:w="710" w:type="pct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0.75mg/L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溶解性总固体</w:t>
            </w:r>
          </w:p>
        </w:tc>
        <w:tc>
          <w:tcPr>
            <w:tcW w:w="2819" w:type="pct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地下水质分析方法 第9部分：溶解性固体总量的测定 重量法DZ/T 0064.9-2021</w:t>
            </w:r>
          </w:p>
        </w:tc>
        <w:tc>
          <w:tcPr>
            <w:tcW w:w="710" w:type="pct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GB/T 11896-1989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挥发性酚类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（以苯酚计）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挥发酚的测定 4-氨基安替比林分光光度法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503-2009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阴离子表面活性剂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（10.1）亚甲蓝分光光度法GB/T 5750.4-2006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耗氧量（COD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2819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生活饮用水标准检验方法有机物综合指标 </w:t>
            </w:r>
          </w:p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（1.2 耗氧量 碱性高锰酸钾滴定法）GB/T 5750.7-2006</w:t>
            </w:r>
          </w:p>
        </w:tc>
        <w:tc>
          <w:tcPr>
            <w:tcW w:w="710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氨氮（以N计）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 535-2009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总大肠菌群</w:t>
            </w:r>
          </w:p>
        </w:tc>
        <w:tc>
          <w:tcPr>
            <w:tcW w:w="2819" w:type="pct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水和废水监测分析方法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第五篇 水和废水的生物监测方法第二章 五 水中总大肠菌群的测定B（一）多管发酵法（第四版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MPN/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100m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亚硝酸盐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2819" w:type="pct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亚硝酸盐氮的测定 分光光度法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GB/T 7493-1987</w:t>
            </w:r>
          </w:p>
        </w:tc>
        <w:tc>
          <w:tcPr>
            <w:tcW w:w="710" w:type="pct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硝酸盐氮的测定 紫外分光光度法（试行）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HJ/T 346-2007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氟化物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氟化物的测定 离子选择电极法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GB/T 7484-1987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2819" w:type="pct"/>
            <w:vAlign w:val="center"/>
          </w:tcPr>
          <w:p>
            <w:pPr>
              <w:spacing w:line="280" w:lineRule="exact"/>
              <w:ind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水质 65种元素的测定 电感耦合等离子体质谱法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700-2014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</w:p>
        </w:tc>
        <w:tc>
          <w:tcPr>
            <w:tcW w:w="2819" w:type="pct"/>
            <w:vAlign w:val="center"/>
          </w:tcPr>
          <w:p>
            <w:pPr>
              <w:pStyle w:val="77"/>
              <w:jc w:val="center"/>
              <w:rPr>
                <w:rFonts w:asci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 xml:space="preserve">地下水质分析方法 第17部分：总铬和六价铬量的测定 </w:t>
            </w:r>
          </w:p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二苯碳酰二肼分光光度法DZ/T 0064.17-2021</w:t>
            </w:r>
          </w:p>
        </w:tc>
        <w:tc>
          <w:tcPr>
            <w:tcW w:w="710" w:type="pct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0.001mg/L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636" w:type="pct"/>
            <w:vMerge w:val="continue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</w:t>
            </w:r>
          </w:p>
        </w:tc>
        <w:tc>
          <w:tcPr>
            <w:tcW w:w="2819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65种元素的测定 电感耦合等离子体质谱法</w:t>
            </w:r>
          </w:p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700-2014</w:t>
            </w:r>
          </w:p>
        </w:tc>
        <w:tc>
          <w:tcPr>
            <w:tcW w:w="710" w:type="pct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0.00011mg/L</w:t>
            </w:r>
          </w:p>
        </w:tc>
      </w:tr>
    </w:tbl>
    <w:p>
      <w:pPr>
        <w:pStyle w:val="26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p>
      <w:pPr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szCs w:val="24"/>
        </w:rPr>
        <w:t>有组织废气检测结果</w:t>
      </w:r>
    </w:p>
    <w:tbl>
      <w:tblPr>
        <w:tblStyle w:val="14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85"/>
        <w:gridCol w:w="945"/>
        <w:gridCol w:w="2100"/>
        <w:gridCol w:w="1587"/>
        <w:gridCol w:w="1587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检测点位</w:t>
            </w:r>
          </w:p>
        </w:tc>
        <w:tc>
          <w:tcPr>
            <w:tcW w:w="3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检测项目</w:t>
            </w:r>
          </w:p>
        </w:tc>
        <w:tc>
          <w:tcPr>
            <w:tcW w:w="4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第一次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第二次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2023.06.30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有组织废气DA001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UNT2302071-4010101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UNT2302071-4010201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16.2 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16.0 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15.9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0.453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0.483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低浓度颗粒物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0.140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0.175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27967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30188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有组织废气DA002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UNT2302071-4020101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UNT2302071-4020201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N，N-二甲基甲酰胺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7.82 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8.12 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8.31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0.024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低浓度颗粒物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3004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3007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有组织废气DA003</w:t>
            </w:r>
          </w:p>
        </w:tc>
        <w:tc>
          <w:tcPr>
            <w:tcW w:w="30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UNT2302071-4030101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UNT2302071-4030201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UNT2302071-4030301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4.05 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3.97 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0.106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0.105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低浓度颗粒物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实测浓度(mg/N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排放速率(kg/h)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0.121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0.098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废气流量(N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/h)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26211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26509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26309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rPr>
          <w:rFonts w:hint="default"/>
          <w:lang w:eastAsia="zh-CN"/>
        </w:rPr>
      </w:pPr>
      <w:r>
        <w:rPr>
          <w:rFonts w:hint="default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highlight w:val="none"/>
          <w:lang w:eastAsia="zh-CN"/>
        </w:rPr>
        <w:t>地下水</w:t>
      </w:r>
      <w:r>
        <w:rPr>
          <w:rFonts w:hint="default" w:ascii="Times New Roman" w:hAnsi="Times New Roman" w:eastAsia="宋体" w:cs="Times New Roman"/>
          <w:b/>
          <w:color w:val="auto"/>
          <w:highlight w:val="none"/>
        </w:rPr>
        <w:t>检测结果表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6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95" w:type="pct"/>
            <w:vMerge w:val="restart"/>
            <w:tcBorders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left="-38" w:leftChars="-16" w:right="-6"/>
              <w:jc w:val="righ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        检测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点位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2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2023.06.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95" w:type="pct"/>
            <w:vMerge w:val="continue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厂区地下水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样品编码</w:t>
            </w:r>
          </w:p>
        </w:tc>
        <w:tc>
          <w:tcPr>
            <w:tcW w:w="29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UNT2302071-4040101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色（度）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pH值（无量纲）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7.2（19.1℃）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总硬度（以CaCO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计）（mg/L）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溶解性总固体（mg/L）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1.7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×10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氯化物（mg/L）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挥发性酚类（以苯酚计）（mg/L）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阴离子表面活性剂（mg/L）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耗氧量（COD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计）（mg/L）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氨氮（以N计）（mg/L）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总大肠菌群（MPN/100mL）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亚硝酸盐（以N计）（mg/L）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硝酸盐（以N计）（mg/L）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氟化物（mg/L）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0.00005L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铬（六价）（mg/L）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总铬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（mg/L）</w:t>
            </w:r>
          </w:p>
        </w:tc>
        <w:tc>
          <w:tcPr>
            <w:tcW w:w="290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0.00011L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29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eastAsia="zh-CN"/>
        </w:rPr>
        <w:t>地下水水文参数表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2544"/>
        <w:gridCol w:w="2544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水温（℃）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井深(m)</w:t>
            </w:r>
          </w:p>
        </w:tc>
        <w:tc>
          <w:tcPr>
            <w:tcW w:w="11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地下水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埋深（m）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9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厂区地下水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9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lang w:val="en-US" w:eastAsia="zh-CN" w:bidi="ar-SA"/>
              </w:rPr>
              <w:t>19.1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1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lang w:val="en-US" w:eastAsia="zh-CN" w:bidi="ar-SA"/>
              </w:rPr>
              <w:t>1.81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br w:type="page"/>
      </w:r>
    </w:p>
    <w:p>
      <w:pPr>
        <w:pStyle w:val="53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54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2023.0</w:t>
            </w:r>
            <w:r>
              <w:rPr>
                <w:rFonts w:hint="eastAsia" w:ascii="Times New Roman" w:cs="Times New Roman"/>
                <w:sz w:val="22"/>
                <w:szCs w:val="22"/>
                <w:highlight w:val="none"/>
                <w:lang w:val="en-US" w:eastAsia="zh-CN"/>
              </w:rPr>
              <w:t>7.05</w:t>
            </w:r>
          </w:p>
        </w:tc>
      </w:tr>
    </w:tbl>
    <w:p>
      <w:pPr>
        <w:pStyle w:val="19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21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9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9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p>
      <w:pPr>
        <w:pStyle w:val="19"/>
        <w:spacing w:line="20" w:lineRule="exact"/>
        <w:rPr>
          <w:rFonts w:hint="default" w:ascii="Times New Roman" w:hAnsi="Times New Roman" w:cs="Times New Roman"/>
          <w:highlight w:val="none"/>
        </w:rPr>
      </w:pPr>
    </w:p>
    <w:tbl>
      <w:tblPr>
        <w:tblStyle w:val="13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高效液相色谱仪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RF-20A/SPD-20A/LC-20AT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离子活度计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PXS-215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净化工作台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SW-CJ-1D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电子天平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MS105DU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JPB-607A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恒温恒湿称重系统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THCZ-150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电感耦合等离子体质谱仪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iCAP RQ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低浓度自动烟尘烟气综合测试仪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ZR-3260D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便携式电导率仪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DDBJ-350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智能四路空气采样器</w:t>
            </w:r>
          </w:p>
        </w:tc>
        <w:tc>
          <w:tcPr>
            <w:tcW w:w="3685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崂应2020S</w:t>
            </w:r>
          </w:p>
        </w:tc>
        <w:tc>
          <w:tcPr>
            <w:tcW w:w="3117" w:type="dxa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气相色谱仪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GC9790Ⅱ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真空箱气袋采样器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LC-2036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真空箱气袋采样器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LC-2036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大流量低浓度烟尘/气测试仪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崂应3012H-D型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便携式浊度计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WZB-170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0" w:type="auto"/>
            <w:vAlign w:val="center"/>
          </w:tcPr>
          <w:p>
            <w:pPr>
              <w:pStyle w:val="8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jc w:val="left"/>
        <w:rPr>
          <w:rFonts w:hint="eastAsia" w:ascii="Times New Roman" w:cs="Times New Roman"/>
          <w:highlight w:val="none"/>
          <w:lang w:eastAsia="zh-CN"/>
        </w:rPr>
      </w:pPr>
      <w:r>
        <w:rPr>
          <w:rFonts w:hint="eastAsia" w:ascii="Times New Roman" w:cs="Times New Roman"/>
          <w:highlight w:val="none"/>
          <w:lang w:eastAsia="zh-CN"/>
        </w:rPr>
        <w:t>附页二</w:t>
      </w:r>
    </w:p>
    <w:p>
      <w:pPr>
        <w:jc w:val="center"/>
        <w:rPr>
          <w:rFonts w:hint="eastAsia" w:ascii="Times New Roman" w:cs="Times New Roman"/>
          <w:highlight w:val="none"/>
          <w:lang w:eastAsia="zh-CN"/>
        </w:rPr>
      </w:pPr>
      <w:r>
        <w:rPr>
          <w:rFonts w:hint="eastAsia" w:ascii="Times New Roman" w:cs="Times New Roman"/>
          <w:highlight w:val="none"/>
          <w:lang w:eastAsia="zh-CN"/>
        </w:rPr>
        <w:t>地下水检测点位示意图</w:t>
      </w:r>
    </w:p>
    <w:p>
      <w:pPr>
        <w:jc w:val="center"/>
        <w:rPr>
          <w:rFonts w:hint="eastAsia" w:ascii="Times New Roman" w:cs="Times New Roman"/>
          <w:highlight w:val="none"/>
          <w:lang w:eastAsia="zh-CN"/>
        </w:rPr>
      </w:pPr>
      <w:r>
        <w:rPr>
          <w:rFonts w:hint="eastAsia"/>
        </w:rPr>
        <w:drawing>
          <wp:inline distT="0" distB="0" distL="0" distR="0">
            <wp:extent cx="4762500" cy="5715000"/>
            <wp:effectExtent l="0" t="0" r="0" b="0"/>
            <wp:docPr id="24787" name="_x0000_i1624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7" name="_x0000_i16240" descr="pi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21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9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9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9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9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9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9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37426" name="_x0000_i24474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6" name="_x0000_i24474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3"/>
        <w:rPr>
          <w:rFonts w:hint="default" w:ascii="Times New Roman" w:hAnsi="Times New Roman" w:cs="Times New Roman"/>
          <w:highlight w:val="none"/>
        </w:rPr>
        <w:sectPr>
          <w:headerReference r:id="rId3" w:type="default"/>
          <w:footerReference r:id="rId4" w:type="default"/>
          <w:pgSz w:w="11906" w:h="16838"/>
          <w:pgMar w:top="709" w:right="709" w:bottom="709" w:left="709" w:header="851" w:footer="992" w:gutter="0"/>
          <w:pgNumType w:fmt="decimal" w:start="1"/>
          <w:cols w:space="425" w:num="1"/>
          <w:docGrid w:type="lines" w:linePitch="326" w:charSpace="0"/>
        </w:sectPr>
      </w:pPr>
    </w:p>
    <w:tbl>
      <w:tblPr>
        <w:tblStyle w:val="14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080135"/>
                  <wp:effectExtent l="0" t="0" r="5715" b="571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2071-4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（地下水）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" name="_x0000_s113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x0000_s113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br w:type="page"/>
      </w: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headerReference r:id="rId5" w:type="default"/>
          <w:footerReference r:id="rId6" w:type="default"/>
          <w:pgSz w:w="11906" w:h="16838"/>
          <w:pgMar w:top="709" w:right="709" w:bottom="709" w:left="709" w:header="851" w:footer="992" w:gutter="0"/>
          <w:pgNumType w:fmt="decimal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070"/>
        <w:gridCol w:w="1683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2023-06-30</w:t>
            </w:r>
          </w:p>
        </w:tc>
      </w:tr>
    </w:tbl>
    <w:p>
      <w:pPr>
        <w:pStyle w:val="19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9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检测一览表</w:t>
      </w:r>
    </w:p>
    <w:tbl>
      <w:tblPr>
        <w:tblStyle w:val="13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70"/>
        <w:gridCol w:w="1350"/>
        <w:gridCol w:w="4485"/>
        <w:gridCol w:w="112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350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448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12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408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地下水</w:t>
            </w:r>
          </w:p>
        </w:tc>
        <w:tc>
          <w:tcPr>
            <w:tcW w:w="1350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厂区地下水</w:t>
            </w:r>
          </w:p>
        </w:tc>
        <w:tc>
          <w:tcPr>
            <w:tcW w:w="448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高锰酸盐指数</w:t>
            </w:r>
          </w:p>
        </w:tc>
        <w:tc>
          <w:tcPr>
            <w:tcW w:w="112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 1次/天</w:t>
            </w:r>
          </w:p>
        </w:tc>
        <w:tc>
          <w:tcPr>
            <w:tcW w:w="1408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无色无味无浮油液体</w:t>
            </w:r>
          </w:p>
        </w:tc>
      </w:tr>
    </w:tbl>
    <w:p>
      <w:pPr>
        <w:pStyle w:val="19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9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19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8"/>
        <w:gridCol w:w="1736"/>
        <w:gridCol w:w="559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706" w:type="pct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823" w:type="pct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655" w:type="pct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815" w:type="pct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2" w:hRule="exact"/>
          <w:jc w:val="center"/>
        </w:trPr>
        <w:tc>
          <w:tcPr>
            <w:tcW w:w="706" w:type="pct"/>
            <w:vAlign w:val="center"/>
          </w:tcPr>
          <w:p>
            <w:pPr>
              <w:pStyle w:val="19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地下水</w:t>
            </w:r>
          </w:p>
        </w:tc>
        <w:tc>
          <w:tcPr>
            <w:tcW w:w="823" w:type="pct"/>
            <w:vAlign w:val="center"/>
          </w:tcPr>
          <w:p>
            <w:pPr>
              <w:pStyle w:val="75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  <w:t>高锰酸盐指数</w:t>
            </w:r>
          </w:p>
        </w:tc>
        <w:tc>
          <w:tcPr>
            <w:tcW w:w="2655" w:type="pct"/>
            <w:vAlign w:val="center"/>
          </w:tcPr>
          <w:p>
            <w:pPr>
              <w:pStyle w:val="75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参考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水质 高锰酸盐指数的测定</w:t>
            </w:r>
          </w:p>
          <w:p>
            <w:pPr>
              <w:pStyle w:val="75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GB/T 11892-1989</w:t>
            </w:r>
          </w:p>
        </w:tc>
        <w:tc>
          <w:tcPr>
            <w:tcW w:w="815" w:type="pct"/>
            <w:vAlign w:val="center"/>
          </w:tcPr>
          <w:p>
            <w:pPr>
              <w:pStyle w:val="75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</w:tbl>
    <w:p>
      <w:pPr>
        <w:pStyle w:val="19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四 检测结果</w:t>
      </w:r>
    </w:p>
    <w:p>
      <w:pPr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highlight w:val="none"/>
          <w:lang w:eastAsia="zh-CN"/>
        </w:rPr>
        <w:t>地下水</w:t>
      </w:r>
      <w:r>
        <w:rPr>
          <w:rFonts w:hint="default" w:ascii="Times New Roman" w:hAnsi="Times New Roman" w:eastAsia="宋体" w:cs="Times New Roman"/>
          <w:b/>
          <w:color w:val="auto"/>
          <w:highlight w:val="none"/>
        </w:rPr>
        <w:t>检测结果表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857" w:type="pct"/>
            <w:vMerge w:val="restart"/>
            <w:tcBorders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left="-38" w:leftChars="-16" w:right="-6"/>
              <w:jc w:val="righ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        检测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点位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3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2023.06.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857" w:type="pct"/>
            <w:vMerge w:val="continue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9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厂区地下水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样品编码</w:t>
            </w:r>
          </w:p>
        </w:tc>
        <w:tc>
          <w:tcPr>
            <w:tcW w:w="3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</w:rPr>
              <w:t>UNT2302071-4040101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  <w:t>高锰酸盐指数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（mg/L）</w:t>
            </w:r>
          </w:p>
        </w:tc>
        <w:tc>
          <w:tcPr>
            <w:tcW w:w="31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5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31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53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54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：</w:t>
            </w:r>
          </w:p>
        </w:tc>
        <w:tc>
          <w:tcPr>
            <w:tcW w:w="4210" w:type="pct"/>
          </w:tcPr>
          <w:p>
            <w:pPr>
              <w:pStyle w:val="54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2023.0</w:t>
            </w:r>
            <w:r>
              <w:rPr>
                <w:rFonts w:hint="eastAsia" w:ascii="Times New Roman" w:cs="Times New Roman"/>
                <w:sz w:val="22"/>
                <w:szCs w:val="22"/>
                <w:highlight w:val="none"/>
                <w:lang w:val="en-US" w:eastAsia="zh-CN"/>
              </w:rPr>
              <w:t>7.05</w:t>
            </w:r>
          </w:p>
        </w:tc>
      </w:tr>
    </w:tbl>
    <w:p>
      <w:pPr>
        <w:pStyle w:val="53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************报告结束************</w:t>
      </w:r>
    </w:p>
    <w:p>
      <w:pPr>
        <w:adjustRightInd w:val="0"/>
        <w:snapToGrid w:val="0"/>
        <w:spacing w:before="50" w:after="5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eastAsia="zh-CN"/>
              </w:rPr>
              <w:t>本报告不加盖资质认定标志（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CMA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eastAsia="zh-CN"/>
              </w:rPr>
              <w:t>），不具备对社会的证明作用，仅做科研、教学以及内部使用。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报告无编制人、审核人、批准人签字无效。报告无我单位“检测专用章”、无骑缝章无效。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8.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9.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numPr>
                <w:ilvl w:val="0"/>
                <w:numId w:val="0"/>
              </w:numPr>
              <w:spacing w:line="0" w:lineRule="atLeast"/>
              <w:ind w:left="561" w:left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  <w:lang w:val="en-US" w:eastAsia="zh-CN"/>
              </w:rPr>
              <w:t>10.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2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9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9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9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9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9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9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_x0000_i24474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_x0000_i24474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before="50" w:after="50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sectPr>
      <w:headerReference r:id="rId7" w:type="default"/>
      <w:footerReference r:id="rId8" w:type="default"/>
      <w:pgSz w:w="11906" w:h="16838"/>
      <w:pgMar w:top="709" w:right="709" w:bottom="709" w:left="709" w:header="851" w:footer="992" w:gutter="0"/>
      <w:pgNumType w:fmt="decimal"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cs="Times New Roman"/>
                              <w:sz w:val="21"/>
                              <w:szCs w:val="21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Times New Roman" w:cs="Times New Roman"/>
                        <w:sz w:val="21"/>
                        <w:szCs w:val="21"/>
                        <w:lang w:val="en-US" w:eastAsia="zh-CN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cs="Times New Roman"/>
                              <w:sz w:val="21"/>
                              <w:szCs w:val="21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Times New Roman" w:cs="Times New Roman"/>
                        <w:sz w:val="21"/>
                        <w:szCs w:val="21"/>
                        <w:lang w:val="en-US"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</w:t>
    </w:r>
    <w:r>
      <w:rPr>
        <w:rFonts w:hint="eastAsia"/>
        <w:sz w:val="24"/>
        <w:szCs w:val="24"/>
        <w:lang w:val="en-US" w:eastAsia="zh-CN"/>
      </w:rPr>
      <w:t xml:space="preserve">         </w:t>
    </w:r>
    <w:r>
      <w:rPr>
        <w:rFonts w:hint="eastAsia"/>
        <w:sz w:val="24"/>
        <w:szCs w:val="24"/>
      </w:rPr>
      <w:t xml:space="preserve">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val="en-US" w:eastAsia="zh-CN"/>
      </w:rPr>
      <w:t>2302071-4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</w:t>
    </w: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/>
        <w:sz w:val="24"/>
        <w:szCs w:val="24"/>
      </w:rPr>
      <w:t xml:space="preserve">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</w:t>
    </w:r>
    <w:r>
      <w:rPr>
        <w:rFonts w:hint="eastAsia" w:ascii="Times New Roman"/>
        <w:sz w:val="21"/>
        <w:szCs w:val="21"/>
        <w:lang w:val="en-US" w:eastAsia="zh-CN"/>
      </w:rPr>
      <w:t>302071-4（A）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01D63D6"/>
    <w:rsid w:val="005F5ABF"/>
    <w:rsid w:val="008D264A"/>
    <w:rsid w:val="01575C8C"/>
    <w:rsid w:val="015C5A91"/>
    <w:rsid w:val="01983C26"/>
    <w:rsid w:val="01CA1965"/>
    <w:rsid w:val="024800A5"/>
    <w:rsid w:val="02CA09AC"/>
    <w:rsid w:val="030516AD"/>
    <w:rsid w:val="037E1A1E"/>
    <w:rsid w:val="044E03A3"/>
    <w:rsid w:val="05263B5D"/>
    <w:rsid w:val="059D2AA8"/>
    <w:rsid w:val="067F1F30"/>
    <w:rsid w:val="06E521B8"/>
    <w:rsid w:val="071801CB"/>
    <w:rsid w:val="071A44C5"/>
    <w:rsid w:val="072D508B"/>
    <w:rsid w:val="08303A92"/>
    <w:rsid w:val="085D16AE"/>
    <w:rsid w:val="09BB3CBD"/>
    <w:rsid w:val="0A0C3D0E"/>
    <w:rsid w:val="0A233BD8"/>
    <w:rsid w:val="0AC6015C"/>
    <w:rsid w:val="0AF142C5"/>
    <w:rsid w:val="0B806E18"/>
    <w:rsid w:val="0B900A37"/>
    <w:rsid w:val="0C28080E"/>
    <w:rsid w:val="0C8971A0"/>
    <w:rsid w:val="0C9A576B"/>
    <w:rsid w:val="0C9B219A"/>
    <w:rsid w:val="0CE949D7"/>
    <w:rsid w:val="0E0B2027"/>
    <w:rsid w:val="0E49733C"/>
    <w:rsid w:val="0ECA12B8"/>
    <w:rsid w:val="0F0C2D05"/>
    <w:rsid w:val="10686DD7"/>
    <w:rsid w:val="10FB5E9E"/>
    <w:rsid w:val="115A0A37"/>
    <w:rsid w:val="1346767D"/>
    <w:rsid w:val="13534099"/>
    <w:rsid w:val="137C7895"/>
    <w:rsid w:val="13CD2E75"/>
    <w:rsid w:val="143E29E0"/>
    <w:rsid w:val="14691370"/>
    <w:rsid w:val="14C43EDB"/>
    <w:rsid w:val="14EC6628"/>
    <w:rsid w:val="157435BE"/>
    <w:rsid w:val="158076D1"/>
    <w:rsid w:val="15D35531"/>
    <w:rsid w:val="15D842E2"/>
    <w:rsid w:val="17BD6E10"/>
    <w:rsid w:val="19187C6A"/>
    <w:rsid w:val="19B04543"/>
    <w:rsid w:val="19DC1B6D"/>
    <w:rsid w:val="19EC4DF5"/>
    <w:rsid w:val="1B10543B"/>
    <w:rsid w:val="1B505038"/>
    <w:rsid w:val="1D2D56C0"/>
    <w:rsid w:val="1D4666F2"/>
    <w:rsid w:val="1E856047"/>
    <w:rsid w:val="1E8877F6"/>
    <w:rsid w:val="1EE60906"/>
    <w:rsid w:val="1F8352B0"/>
    <w:rsid w:val="1FA65E9D"/>
    <w:rsid w:val="1FFE0379"/>
    <w:rsid w:val="20266C40"/>
    <w:rsid w:val="20590C97"/>
    <w:rsid w:val="21701EF5"/>
    <w:rsid w:val="21903EDF"/>
    <w:rsid w:val="21A20563"/>
    <w:rsid w:val="227F618B"/>
    <w:rsid w:val="228D6707"/>
    <w:rsid w:val="22F212D5"/>
    <w:rsid w:val="237E01F0"/>
    <w:rsid w:val="23BB00A6"/>
    <w:rsid w:val="23C00989"/>
    <w:rsid w:val="24FA0D6E"/>
    <w:rsid w:val="25A30D43"/>
    <w:rsid w:val="25BF45C1"/>
    <w:rsid w:val="25C74096"/>
    <w:rsid w:val="267D55B1"/>
    <w:rsid w:val="26EF1BA9"/>
    <w:rsid w:val="2775328A"/>
    <w:rsid w:val="279B4D92"/>
    <w:rsid w:val="27BB1DED"/>
    <w:rsid w:val="28C04DA2"/>
    <w:rsid w:val="292630BE"/>
    <w:rsid w:val="29D171EC"/>
    <w:rsid w:val="2A2C52B6"/>
    <w:rsid w:val="2A432204"/>
    <w:rsid w:val="2A687347"/>
    <w:rsid w:val="2AD37E08"/>
    <w:rsid w:val="2D79424E"/>
    <w:rsid w:val="2D7A2E1D"/>
    <w:rsid w:val="2DC773DC"/>
    <w:rsid w:val="2EE834A3"/>
    <w:rsid w:val="2F3D0AF5"/>
    <w:rsid w:val="30007685"/>
    <w:rsid w:val="304E2446"/>
    <w:rsid w:val="316E5D9D"/>
    <w:rsid w:val="320042A7"/>
    <w:rsid w:val="32AE4B06"/>
    <w:rsid w:val="33C01C27"/>
    <w:rsid w:val="343C13D5"/>
    <w:rsid w:val="349E1AAD"/>
    <w:rsid w:val="350902DA"/>
    <w:rsid w:val="353060EC"/>
    <w:rsid w:val="368B126E"/>
    <w:rsid w:val="377A355C"/>
    <w:rsid w:val="391E7FC6"/>
    <w:rsid w:val="39CA335D"/>
    <w:rsid w:val="3A2749C4"/>
    <w:rsid w:val="3BB71485"/>
    <w:rsid w:val="3C242225"/>
    <w:rsid w:val="3D673DEF"/>
    <w:rsid w:val="3D695EAC"/>
    <w:rsid w:val="3D6C5D9A"/>
    <w:rsid w:val="3D8F3120"/>
    <w:rsid w:val="3DBC1A4A"/>
    <w:rsid w:val="3E456258"/>
    <w:rsid w:val="3E741759"/>
    <w:rsid w:val="3E946F18"/>
    <w:rsid w:val="3F007624"/>
    <w:rsid w:val="3F2F774D"/>
    <w:rsid w:val="3F397A0D"/>
    <w:rsid w:val="3F6D4AC4"/>
    <w:rsid w:val="3FF02B6A"/>
    <w:rsid w:val="41041EEE"/>
    <w:rsid w:val="41600C0B"/>
    <w:rsid w:val="422A7E7C"/>
    <w:rsid w:val="43083C9F"/>
    <w:rsid w:val="43494260"/>
    <w:rsid w:val="446D6522"/>
    <w:rsid w:val="44924AE7"/>
    <w:rsid w:val="44F543D6"/>
    <w:rsid w:val="45745E7F"/>
    <w:rsid w:val="45AD2B25"/>
    <w:rsid w:val="45B3679A"/>
    <w:rsid w:val="464D7BA7"/>
    <w:rsid w:val="464F1A25"/>
    <w:rsid w:val="469043B7"/>
    <w:rsid w:val="47315599"/>
    <w:rsid w:val="47354F5E"/>
    <w:rsid w:val="48D965D2"/>
    <w:rsid w:val="48E36096"/>
    <w:rsid w:val="492B6619"/>
    <w:rsid w:val="497745B4"/>
    <w:rsid w:val="4AF07C10"/>
    <w:rsid w:val="4B20746B"/>
    <w:rsid w:val="4B494ABD"/>
    <w:rsid w:val="4C8B580C"/>
    <w:rsid w:val="4CBD40B5"/>
    <w:rsid w:val="4D870AAC"/>
    <w:rsid w:val="4DCA6493"/>
    <w:rsid w:val="4DF90E2B"/>
    <w:rsid w:val="4E536212"/>
    <w:rsid w:val="4E9C32B0"/>
    <w:rsid w:val="4F1322F2"/>
    <w:rsid w:val="4F594580"/>
    <w:rsid w:val="4F8612B6"/>
    <w:rsid w:val="4FF97E33"/>
    <w:rsid w:val="5052076A"/>
    <w:rsid w:val="516E602A"/>
    <w:rsid w:val="52224F53"/>
    <w:rsid w:val="52BC5656"/>
    <w:rsid w:val="53385D58"/>
    <w:rsid w:val="541A1CD4"/>
    <w:rsid w:val="54BE6DCC"/>
    <w:rsid w:val="54FF592E"/>
    <w:rsid w:val="55D90605"/>
    <w:rsid w:val="5608513C"/>
    <w:rsid w:val="567968FB"/>
    <w:rsid w:val="57124970"/>
    <w:rsid w:val="57390D82"/>
    <w:rsid w:val="57872B37"/>
    <w:rsid w:val="57FA3939"/>
    <w:rsid w:val="586640EF"/>
    <w:rsid w:val="58A70CA7"/>
    <w:rsid w:val="58F42511"/>
    <w:rsid w:val="5933709C"/>
    <w:rsid w:val="59814033"/>
    <w:rsid w:val="59BB2ACD"/>
    <w:rsid w:val="5A572B56"/>
    <w:rsid w:val="5A911684"/>
    <w:rsid w:val="5AB45F1E"/>
    <w:rsid w:val="5BB50F36"/>
    <w:rsid w:val="5C8F3904"/>
    <w:rsid w:val="5D7D2287"/>
    <w:rsid w:val="5DC34C1A"/>
    <w:rsid w:val="5DCA17FD"/>
    <w:rsid w:val="5E630E11"/>
    <w:rsid w:val="5F550C39"/>
    <w:rsid w:val="5FCD1EB4"/>
    <w:rsid w:val="608A5516"/>
    <w:rsid w:val="60CE5C2B"/>
    <w:rsid w:val="614D6D1F"/>
    <w:rsid w:val="617315FB"/>
    <w:rsid w:val="62821312"/>
    <w:rsid w:val="629410F8"/>
    <w:rsid w:val="63A8391B"/>
    <w:rsid w:val="63F200B4"/>
    <w:rsid w:val="64116879"/>
    <w:rsid w:val="649514C3"/>
    <w:rsid w:val="64E52CA2"/>
    <w:rsid w:val="65F30D19"/>
    <w:rsid w:val="66321C5D"/>
    <w:rsid w:val="66380AB4"/>
    <w:rsid w:val="6656172D"/>
    <w:rsid w:val="66D32372"/>
    <w:rsid w:val="66F145A6"/>
    <w:rsid w:val="66FD6BFE"/>
    <w:rsid w:val="67857275"/>
    <w:rsid w:val="67DD7B8A"/>
    <w:rsid w:val="684C14F1"/>
    <w:rsid w:val="687E2433"/>
    <w:rsid w:val="69A44FFF"/>
    <w:rsid w:val="6B5B5C14"/>
    <w:rsid w:val="6C0A614D"/>
    <w:rsid w:val="6C662FEC"/>
    <w:rsid w:val="6C8D78FB"/>
    <w:rsid w:val="6CC4275D"/>
    <w:rsid w:val="6CF5662B"/>
    <w:rsid w:val="6CFE378E"/>
    <w:rsid w:val="6E3C30EB"/>
    <w:rsid w:val="6E497ACC"/>
    <w:rsid w:val="704F4E7C"/>
    <w:rsid w:val="704F4F83"/>
    <w:rsid w:val="70F748AD"/>
    <w:rsid w:val="71581BB2"/>
    <w:rsid w:val="716F710D"/>
    <w:rsid w:val="72A76C1A"/>
    <w:rsid w:val="7379604F"/>
    <w:rsid w:val="752A0BC7"/>
    <w:rsid w:val="754C6526"/>
    <w:rsid w:val="75C70F22"/>
    <w:rsid w:val="765B601A"/>
    <w:rsid w:val="77CE260B"/>
    <w:rsid w:val="77D044FC"/>
    <w:rsid w:val="77D31CDB"/>
    <w:rsid w:val="781B7C75"/>
    <w:rsid w:val="7826619A"/>
    <w:rsid w:val="78CD43B6"/>
    <w:rsid w:val="78E026CC"/>
    <w:rsid w:val="79DD748B"/>
    <w:rsid w:val="79EE322D"/>
    <w:rsid w:val="79F00224"/>
    <w:rsid w:val="7AA16D51"/>
    <w:rsid w:val="7AD859D6"/>
    <w:rsid w:val="7CCB5B29"/>
    <w:rsid w:val="7D017482"/>
    <w:rsid w:val="7DBB79CB"/>
    <w:rsid w:val="7DCB0647"/>
    <w:rsid w:val="7DFF5F32"/>
    <w:rsid w:val="7E5059B3"/>
    <w:rsid w:val="7E832839"/>
    <w:rsid w:val="7F1C2034"/>
    <w:rsid w:val="7F36304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annotation text"/>
    <w:basedOn w:val="1"/>
    <w:semiHidden/>
    <w:unhideWhenUsed/>
    <w:qFormat/>
    <w:uiPriority w:val="0"/>
    <w:pPr>
      <w:jc w:val="left"/>
    </w:pPr>
  </w:style>
  <w:style w:type="paragraph" w:styleId="7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envelope return"/>
    <w:basedOn w:val="1"/>
    <w:qFormat/>
    <w:uiPriority w:val="0"/>
    <w:pPr>
      <w:snapToGrid w:val="0"/>
      <w:spacing w:before="60"/>
      <w:ind w:firstLine="482"/>
    </w:pPr>
    <w:rPr>
      <w:rFonts w:ascii="Arial" w:hAnsi="Arial" w:eastAsia="仿宋_GB2312"/>
      <w:kern w:val="0"/>
      <w:sz w:val="24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页脚 Char"/>
    <w:basedOn w:val="15"/>
    <w:qFormat/>
    <w:uiPriority w:val="99"/>
    <w:rPr>
      <w:rFonts w:ascii="宋体"/>
      <w:color w:val="000000"/>
      <w:sz w:val="18"/>
    </w:rPr>
  </w:style>
  <w:style w:type="character" w:customStyle="1" w:styleId="18">
    <w:name w:val="批注框文本 Char"/>
    <w:basedOn w:val="15"/>
    <w:qFormat/>
    <w:uiPriority w:val="0"/>
    <w:rPr>
      <w:rFonts w:ascii="宋体"/>
      <w:color w:val="000000"/>
      <w:sz w:val="18"/>
      <w:szCs w:val="18"/>
    </w:rPr>
  </w:style>
  <w:style w:type="paragraph" w:customStyle="1" w:styleId="19">
    <w:name w:val="Normal_e91b8a8d-02ac-4587-970b-cf9443e2fa5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0">
    <w:name w:val="Plain Text_5451938b-14ce-4090-92da-d16a3ff16397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21">
    <w:name w:val="Body Text First Indent 2_55572315-f0ab-4993-b856-54892bb201e6"/>
    <w:basedOn w:val="3"/>
    <w:unhideWhenUsed/>
    <w:qFormat/>
    <w:uiPriority w:val="99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Default_c907f688-23d6-4582-aa60-83a45d10f33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4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5">
    <w:name w:val="Normal_12609b92-f05b-4387-bc93-c77339851364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6">
    <w:name w:val="Normal_7ebf209f-40c8-45bb-b4bf-40b7c2e9449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7">
    <w:name w:val="Plain Text_f24fbc05-6897-4b4a-9d56-fd7a8e9f190f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28">
    <w:name w:val="Normal_c58feac8-dd46-4d27-bd45-af833e990a2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9">
    <w:name w:val="Normal_14f9876d-45f5-4f26-9708-f9b9e29b36b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0">
    <w:name w:val="Normal_cca74885-e814-4cf8-9d52-3a3d88e1c5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1">
    <w:name w:val="Normal_a72bb0ef-fa39-4456-87fb-91b29d9ff90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2">
    <w:name w:val="Normal_7b071424-bdb5-4d6b-b420-399b1a12217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3">
    <w:name w:val="Normal_793a1766-a622-43fc-9107-ab72b50e30c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4">
    <w:name w:val="Normal_f8a4e3ee-a048-4f81-b391-8e4ae0f1a74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5">
    <w:name w:val="Normal_e6914554-ef8e-43d7-8bcc-20c0ab505a5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6">
    <w:name w:val="Normal_afe48033-1533-4a08-966e-0ea1762d05f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7">
    <w:name w:val="Normal_34e88d6f-13b3-4195-9f22-4f6595725db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8">
    <w:name w:val="Normal_bc294f8b-eb2f-4935-b088-585729fdd4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9">
    <w:name w:val="Normal_b58530ea-ce7f-4192-af8f-827d6a598f1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0">
    <w:name w:val="Normal_f83883fc-d5b9-47bb-b80a-c43016c1939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1">
    <w:name w:val="Normal_921063b6-bf5b-4575-b4ae-0f642f0bd40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2">
    <w:name w:val="Normal_447da4d8-bb69-4c6e-a013-240415147c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3">
    <w:name w:val="Normal_8e55be75-a480-4784-b3cf-b2bcacfdbe8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4">
    <w:name w:val="Normal_0b7ee2f7-da61-40c8-b301-ac1307a9d5a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5">
    <w:name w:val="Normal_3a492f46-74c6-4703-b25c-a56760ef4793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6">
    <w:name w:val="Normal_528f6b3b-9224-408e-ac62-0eecdd03234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7">
    <w:name w:val="Plain Text_9f63b7d7-569f-41c8-8d8a-73dee12b726f"/>
    <w:basedOn w:val="1"/>
    <w:unhideWhenUsed/>
    <w:qFormat/>
    <w:uiPriority w:val="99"/>
    <w:rPr>
      <w:rFonts w:hAnsi="Courier New"/>
      <w:color w:val="auto"/>
      <w:kern w:val="2"/>
      <w:sz w:val="21"/>
    </w:rPr>
  </w:style>
  <w:style w:type="paragraph" w:customStyle="1" w:styleId="48">
    <w:name w:val="Normal_9e129a8f-054c-49ff-b7d8-1182a07713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9">
    <w:name w:val="Normal_3ac1dcc1-e3c1-45b9-89af-be2581d9fb6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0">
    <w:name w:val="Normal_c5f6e1b8-03a5-4afd-b523-34ef19feb94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1">
    <w:name w:val="Normal_86942ff7-ee01-4973-b9ec-5e87507e047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2">
    <w:name w:val="Normal_a220d2bf-8b95-43f1-812b-7b4b574376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53">
    <w:name w:val="Normal_47c54a09-1bf0-43d8-8437-f8f196f8441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4">
    <w:name w:val="Body Text First Indent 2_3ceb7cf2-bda0-4277-a9a2-2c90fa33d335"/>
    <w:basedOn w:val="3"/>
    <w:unhideWhenUsed/>
    <w:qFormat/>
    <w:uiPriority w:val="99"/>
    <w:pPr>
      <w:ind w:firstLine="420" w:firstLineChars="200"/>
    </w:pPr>
  </w:style>
  <w:style w:type="paragraph" w:customStyle="1" w:styleId="55">
    <w:name w:val="Normal_86c836a2-3bde-458b-941d-ce0f7c48724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6">
    <w:name w:val="Normal_d941279d-dfb7-4b56-a9c4-d91ddb81bd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Normal_33650571-f1c8-41a6-9fc5-6148a012304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8">
    <w:name w:val="Normal_90652281-b602-4761-a750-0409211d396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9">
    <w:name w:val="Normal_18ea04fe-be5b-4b5c-9562-a837a689a9d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0">
    <w:name w:val="Normal_eecb7418-4a5b-47af-99e0-cdb498b98ba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1">
    <w:name w:val="Normal_88cb4d34-a7da-4a9c-8bb3-949359ef172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2">
    <w:name w:val="Normal_e255dc24-6dce-44ce-946b-e5a0854c677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3">
    <w:name w:val="Normal_eae7adb8-0f5b-48b5-a41f-e7bd6d8a39c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4">
    <w:name w:val="Normal_a337420e-f2dc-4bf7-90a7-0cdbc148ee3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5">
    <w:name w:val="Normal_746a7e29-93fe-472b-84ea-b55a1b02003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6">
    <w:name w:val="Normal_4779d25d-0479-4ea9-bd76-12b7d34f6a4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7">
    <w:name w:val="Normal_a279add0-79b2-4f32-ae66-802df0045cf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8">
    <w:name w:val="Plain Text_afbb58d2-ea89-4c1f-96b5-2b04d6d17e34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69">
    <w:name w:val="Normal_5f380cf7-0cd1-49bc-bed3-3572b09d7e3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0">
    <w:name w:val="Normal_c094ea08-3edd-4da4-a954-13b4eaafe65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1">
    <w:name w:val="Plain Text_2baaa940-8664-4580-9fba-643e04c9c112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72">
    <w:name w:val="Normal_d7b1ddfa-5824-4cad-a0c9-fae0fbeb82e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3">
    <w:name w:val="Normal_fc836439-1812-4025-880c-4bd3085d43f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4">
    <w:name w:val="Plain Text_bf781d14-922e-4662-aae8-ddb59c342119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75">
    <w:name w:val="Normal_f8045fa6-3d89-402d-b42a-7fe603c9295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6">
    <w:name w:val="Normal_5bd93cbb-7503-45a3-94e5-4d61cbdbfea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7">
    <w:name w:val="Normal_149bb460-62c7-43cd-bdcd-cbef0da4f6f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8">
    <w:name w:val="Normal_5c65c772-56d9-498a-ab8b-7cf2d6d27c7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79">
    <w:name w:val="Normal_44d17043-8e67-43e6-9015-a7795887aca3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80">
    <w:name w:val="Normal_49ad54fa-28f1-4cab-8066-d39a3755eab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81">
    <w:name w:val="Normal_92174318-afff-4926-a983-e80cba42dcb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4.xml"/><Relationship Id="rId18" Type="http://schemas.openxmlformats.org/officeDocument/2006/relationships/customXml" Target="../customXml/item3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ea358-df56-4bdb-87eb-22e45149a548}">
  <ds:schemaRefs/>
</ds:datastoreItem>
</file>

<file path=customXml/itemProps3.xml><?xml version="1.0" encoding="utf-8"?>
<ds:datastoreItem xmlns:ds="http://schemas.openxmlformats.org/officeDocument/2006/customXml" ds:itemID="{1b598dc4-067c-49bb-bf63-1005140bfff1}">
  <ds:schemaRefs/>
</ds:datastoreItem>
</file>

<file path=customXml/itemProps4.xml><?xml version="1.0" encoding="utf-8"?>
<ds:datastoreItem xmlns:ds="http://schemas.openxmlformats.org/officeDocument/2006/customXml" ds:itemID="{77e49c2f-6469-4008-8abd-1cea076c6e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3792</Words>
  <Characters>5402</Characters>
  <Lines>1</Lines>
  <Paragraphs>1</Paragraphs>
  <TotalTime>5</TotalTime>
  <ScaleCrop>false</ScaleCrop>
  <LinksUpToDate>false</LinksUpToDate>
  <CharactersWithSpaces>5555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2023-07-05T09:26:41Z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FF64AAC5BE7A4892AA0CEBC714F4DB6C</vt:lpwstr>
  </property>
</Properties>
</file>