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275715"/>
                  <wp:effectExtent l="0" t="0" r="571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（废水、固体废物检测）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972" name="_x0000_s116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_x0000_s116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2022.09.22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盛泉街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7"/>
        <w:gridCol w:w="1750"/>
        <w:gridCol w:w="3666"/>
        <w:gridCol w:w="13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pH值、色度、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悬浮物、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五日生化需氧量、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、硫化物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动植物油、氯化物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、化学需氧量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</w:t>
            </w:r>
          </w:p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 3次/天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棕红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szCs w:val="21"/>
                <w:highlight w:val="none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一般固体废物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检测1天 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固态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40"/>
        <w:gridCol w:w="45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水质 pH值的测定 电极法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（HJ 1147-2020）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色度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色度的测定 稀释倍数法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（HJ 1182-2021）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悬浮物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悬浮物的测定 重量法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（GB/T 11901-1989）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）的测定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稀释与接种法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（HJ 505-2009）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总氮的测定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碱性过硫酸钾消解紫外分光光度法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（HJ 636-2012）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（HJ 535-2009）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总磷（以P计）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总磷的测定 钼酸铵分光光度法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（GB/T 11893-1989）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硫化物</w:t>
            </w:r>
          </w:p>
        </w:tc>
        <w:tc>
          <w:tcPr>
            <w:tcW w:w="4523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  <w:highlight w:val="none"/>
              </w:rPr>
            </w:pPr>
            <w:r>
              <w:rPr>
                <w:rFonts w:ascii="Times New Roman"/>
                <w:sz w:val="21"/>
                <w:highlight w:val="none"/>
              </w:rPr>
              <w:t>水质 硫化物的测定 亚甲基蓝分光光度法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（</w:t>
            </w:r>
            <w:r>
              <w:rPr>
                <w:rFonts w:ascii="Times New Roman"/>
                <w:sz w:val="21"/>
                <w:highlight w:val="none"/>
              </w:rPr>
              <w:t>HJ 1226-2021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动植物油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石油类和动植物油类的测定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红外分光光度法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（HJ 637-2018）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（GB/T 11896-1989）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水质 化学需氧量的测定 重铬酸盐法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（HJ 828-2017）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固体废物 总铬的测定 火焰原子吸收分光光度法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（HJ 749-2015）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4" w:afterLines="50" w:line="240" w:lineRule="auto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污水检测结果表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4"/>
        <w:gridCol w:w="2516"/>
        <w:gridCol w:w="1691"/>
        <w:gridCol w:w="16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2022.09.22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0201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2201001-12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8.0（28.9℃）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8.1（28.7℃）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8.0（29.0℃）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1.67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1.59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28.6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29.2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化学需氧量(mg/L)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15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160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氨氮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1.13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1.16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色度(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倍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  <w:highlight w:val="none"/>
              </w:rPr>
            </w:pPr>
            <w:r>
              <w:rPr>
                <w:rFonts w:ascii="Times New Roman"/>
                <w:sz w:val="21"/>
                <w:highlight w:val="none"/>
              </w:rPr>
              <w:t>50(PH值:8.0)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(棕红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highlight w:val="none"/>
              </w:rPr>
              <w:t>透明)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  <w:highlight w:val="none"/>
              </w:rPr>
            </w:pPr>
            <w:r>
              <w:rPr>
                <w:rFonts w:ascii="Times New Roman"/>
                <w:sz w:val="21"/>
                <w:highlight w:val="none"/>
              </w:rPr>
              <w:t>40(PH值:8.1)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(棕红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highlight w:val="none"/>
              </w:rPr>
              <w:t>透明)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  <w:highlight w:val="none"/>
              </w:rPr>
            </w:pPr>
            <w:r>
              <w:rPr>
                <w:rFonts w:ascii="Times New Roman"/>
                <w:sz w:val="21"/>
                <w:highlight w:val="none"/>
              </w:rPr>
              <w:t>50(PH值:8.0)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(棕红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highlight w:val="none"/>
              </w:rPr>
              <w:t>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硫化物(mg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/L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0.01L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0.01L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0.01L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动植物油(mg/L)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0.08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0.08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悬浮物(mg/L)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47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氯离子(mg/L)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1.33×10</w:t>
            </w:r>
            <w:r>
              <w:rPr>
                <w:rFonts w:hint="eastAsia" w:ascii="Times New Roman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1.29×10</w:t>
            </w:r>
            <w:r>
              <w:rPr>
                <w:rFonts w:hint="eastAsia" w:ascii="Times New Roman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1.31×10</w:t>
            </w:r>
            <w:r>
              <w:rPr>
                <w:rFonts w:hint="eastAsia" w:ascii="Times New Roman"/>
                <w:sz w:val="21"/>
                <w:highlight w:val="none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五日生化需氧量(mg/L)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42.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44.0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75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360" w:lineRule="auto"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固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体</w:t>
      </w:r>
      <w:r>
        <w:rPr>
          <w:rFonts w:hint="default" w:ascii="Times New Roman" w:hAnsi="Times New Roman" w:cs="Times New Roman"/>
          <w:b/>
          <w:szCs w:val="24"/>
          <w:highlight w:val="none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物</w:t>
      </w:r>
      <w:r>
        <w:rPr>
          <w:rFonts w:hint="default" w:ascii="Times New Roman" w:hAnsi="Times New Roman" w:cs="Times New Roman"/>
          <w:b/>
          <w:szCs w:val="24"/>
          <w:highlight w:val="none"/>
        </w:rPr>
        <w:t>检测结果表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 </w:instrTex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352"/>
        <w:gridCol w:w="2581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352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2022.09.22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一般固体废物</w:t>
            </w: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2201001-12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浸出液依据HJ299进行制备</w:t>
            </w:r>
          </w:p>
        </w:tc>
      </w:tr>
    </w:tbl>
    <w:p>
      <w:pPr>
        <w:pStyle w:val="17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highlight w:val="none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highlight w:val="none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szCs w:val="21"/>
                <w:highlight w:val="none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傅立叶红外交换光谱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nicolet iS5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-30~100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bookmarkEnd w:id="0"/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10310" name="_x0000_i5655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_x0000_i5655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5EB35B9"/>
    <w:rsid w:val="0E0A37A1"/>
    <w:rsid w:val="19BC09CE"/>
    <w:rsid w:val="1C5E7B23"/>
    <w:rsid w:val="209F02B9"/>
    <w:rsid w:val="22C60169"/>
    <w:rsid w:val="2D2D1817"/>
    <w:rsid w:val="2DDD43A3"/>
    <w:rsid w:val="3082583C"/>
    <w:rsid w:val="310D53A7"/>
    <w:rsid w:val="3A045513"/>
    <w:rsid w:val="40237877"/>
    <w:rsid w:val="41C71230"/>
    <w:rsid w:val="46586D4B"/>
    <w:rsid w:val="4672343C"/>
    <w:rsid w:val="491E48A8"/>
    <w:rsid w:val="493B7B21"/>
    <w:rsid w:val="54714DBF"/>
    <w:rsid w:val="5E297697"/>
    <w:rsid w:val="5FAA4EEF"/>
    <w:rsid w:val="603B2BFE"/>
    <w:rsid w:val="618C45AA"/>
    <w:rsid w:val="669E53DB"/>
    <w:rsid w:val="6E972A36"/>
    <w:rsid w:val="6F661068"/>
    <w:rsid w:val="75A9159E"/>
    <w:rsid w:val="76D0015E"/>
    <w:rsid w:val="782B1B26"/>
    <w:rsid w:val="7B031384"/>
    <w:rsid w:val="7F79045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798f0a60-3c42-42cc-a2b4-beb1e38dcb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3174557e-5d7a-4ed9-a522-ef2e24c9d9b3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c1041e8a-58e1-448c-acb4-4ace7ead064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4b0be7eb-57c2-47f7-9804-f74b358f0ed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2">
    <w:name w:val="Normal_dc3d695e-3b29-4fa3-a130-fd34665b9bb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afb9dcb3-d584-48a4-ac88-52a52ca51832}">
  <ds:schemaRefs/>
</ds:datastoreItem>
</file>

<file path=customXml/itemProps2.xml><?xml version="1.0" encoding="utf-8"?>
<ds:datastoreItem xmlns:ds="http://schemas.openxmlformats.org/officeDocument/2006/customXml" ds:itemID="{abf74acf-e280-4bbd-a194-8bed29e7f361}">
  <ds:schemaRefs/>
</ds:datastoreItem>
</file>

<file path=customXml/itemProps3.xml><?xml version="1.0" encoding="utf-8"?>
<ds:datastoreItem xmlns:ds="http://schemas.openxmlformats.org/officeDocument/2006/customXml" ds:itemID="{d7b22526-58f6-496d-8c3f-37371a9c1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1852</Words>
  <Characters>2612</Characters>
  <Lines>1</Lines>
  <Paragraphs>1</Paragraphs>
  <TotalTime>1</TotalTime>
  <ScaleCrop>false</ScaleCrop>
  <LinksUpToDate>false</LinksUpToDate>
  <CharactersWithSpaces>2678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2022-09-30T06:50:27Z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78051D085B7E4006A20D0E93BFE67DDD</vt:lpwstr>
  </property>
</Properties>
</file>