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080135" cy="1265555"/>
                  <wp:effectExtent l="0" t="0" r="5715" b="1079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  <w:highlight w:val="none"/>
              </w:rPr>
              <w:t>2022.06.20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972" name="_x0000_s116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2" name="_x0000_s116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受山东莱福特皮革制品有限公司的委托，潍坊优特检测服务有限公司于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2022.06.02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对该项目进行了环境检测，并编写检测报告。项目位于山东省潍坊市高密市醴泉街道醴泉工业园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盛泉街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val="en-US" w:eastAsia="zh-CN"/>
        </w:rPr>
        <w:t>1880号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57"/>
        <w:gridCol w:w="1750"/>
        <w:gridCol w:w="3666"/>
        <w:gridCol w:w="133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污水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废水厂区总排口DW002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pH值、色度、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悬浮物、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五日生化需氧量、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总氮（以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）、氨氮（以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总磷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（以P计）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、硫化物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动植物油、氯化物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、化学需氧量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</w:t>
            </w:r>
          </w:p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 xml:space="preserve"> 3次/天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棕红</w:t>
            </w:r>
            <w:r>
              <w:rPr>
                <w:rFonts w:hint="eastAsia" w:ascii="Times New Roman"/>
                <w:sz w:val="21"/>
                <w:szCs w:val="21"/>
                <w:highlight w:val="none"/>
                <w:lang w:eastAsia="zh-CN"/>
              </w:rPr>
              <w:t>色</w:t>
            </w:r>
            <w:r>
              <w:rPr>
                <w:rFonts w:ascii="Times New Roman"/>
                <w:sz w:val="21"/>
                <w:szCs w:val="21"/>
                <w:highlight w:val="none"/>
              </w:rPr>
              <w:t>无味无浮油透明液体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固体废物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一般固体废物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E:</w:t>
            </w:r>
            <w:r>
              <w:rPr>
                <w:rFonts w:ascii="Times New Roman"/>
                <w:sz w:val="21"/>
                <w:highlight w:val="none"/>
              </w:rPr>
              <w:t>119.7497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，</w:t>
            </w:r>
            <w:r>
              <w:rPr>
                <w:rFonts w:ascii="Times New Roman"/>
                <w:sz w:val="21"/>
                <w:highlight w:val="none"/>
              </w:rPr>
              <w:t>N:36.414827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 xml:space="preserve">检测1天 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1次/天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泥状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固体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sz w:val="21"/>
          <w:szCs w:val="21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7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2140"/>
        <w:gridCol w:w="452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52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212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pH值（无量纲）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水质 pH值的测定 电极法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（HJ 1147-2020）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色度</w:t>
            </w:r>
          </w:p>
        </w:tc>
        <w:tc>
          <w:tcPr>
            <w:tcW w:w="4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色度的测定 稀释倍数法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（HJ 1182-2021）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悬浮物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悬浮物的测定 重量法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（GB/T 11901-1989）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五日生化需氧量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五日生化需氧量（BOD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vertAlign w:val="subscript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）的测定 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稀释与接种法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（HJ 505-2009）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总氮（以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水质 总氮的测定 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碱性过硫酸钾消解紫外分光光度法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（HJ 636-2012）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0.05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氨氮（以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氨氮的测定 纳氏试剂分光光度法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（HJ 535-2009）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0.025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总磷（以P计）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总磷的测定 钼酸铵分光光度法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（GB/T 11893-1989）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0.01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硫化物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（mg/L）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水质 硫化物的测定 碘量法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HJ/T 60-2000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212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动植物油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水质 石油类和动植物油类的测定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红外分光光度法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（HJ 637-2018）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0.06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氯化物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氯化物的测定 硝酸银滴定法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（GB/T 11896-1989）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化学需氧量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水质 化学需氧量的测定 重铬酸盐法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（HJ 828-2017）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固体废物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固体废物 总铬的测定 火焰原子吸收分光光度法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（HJ 749-2015）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0.03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2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4" w:afterLines="50" w:line="240" w:lineRule="auto"/>
        <w:jc w:val="center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szCs w:val="24"/>
          <w:highlight w:val="none"/>
        </w:rPr>
        <w:t>污水检测结果表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584"/>
        <w:gridCol w:w="2516"/>
        <w:gridCol w:w="1691"/>
        <w:gridCol w:w="169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51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075" w:type="dxa"/>
            <w:gridSpan w:val="3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tblHeader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2022.06.02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废水厂区总排口DW002</w:t>
            </w:r>
          </w:p>
        </w:tc>
        <w:tc>
          <w:tcPr>
            <w:tcW w:w="2516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2201001-7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0101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2201001-7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0201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2201001-7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pH值（无量纲）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8.2（31.2℃）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8.2（31.5℃）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8.2（31.4℃）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总磷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（以P计）</w:t>
            </w:r>
            <w:r>
              <w:rPr>
                <w:rFonts w:ascii="Times New Roman"/>
                <w:sz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1.68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1.68</w:t>
            </w:r>
          </w:p>
        </w:tc>
        <w:tc>
          <w:tcPr>
            <w:tcW w:w="1693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总氮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/>
                <w:sz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24.4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26.2</w:t>
            </w:r>
          </w:p>
        </w:tc>
        <w:tc>
          <w:tcPr>
            <w:tcW w:w="1693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22.7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化学需氧量(mg/L)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11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110</w:t>
            </w:r>
          </w:p>
        </w:tc>
        <w:tc>
          <w:tcPr>
            <w:tcW w:w="1693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氨氮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/>
                <w:sz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0.57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0.616</w:t>
            </w:r>
          </w:p>
        </w:tc>
        <w:tc>
          <w:tcPr>
            <w:tcW w:w="1693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色度(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倍</w:t>
            </w:r>
            <w:r>
              <w:rPr>
                <w:rFonts w:ascii="Times New Roman"/>
                <w:sz w:val="21"/>
                <w:highlight w:val="none"/>
              </w:rPr>
              <w:t>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5(PH值:8.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2</w:t>
            </w:r>
            <w:r>
              <w:rPr>
                <w:rFonts w:ascii="Times New Roman"/>
                <w:sz w:val="21"/>
                <w:highlight w:val="none"/>
              </w:rPr>
              <w:t>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4(PH值:8.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2</w:t>
            </w:r>
            <w:r>
              <w:rPr>
                <w:rFonts w:ascii="Times New Roman"/>
                <w:sz w:val="21"/>
                <w:highlight w:val="none"/>
              </w:rPr>
              <w:t>)</w:t>
            </w:r>
          </w:p>
        </w:tc>
        <w:tc>
          <w:tcPr>
            <w:tcW w:w="1693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4(PH值:8.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2</w:t>
            </w:r>
            <w:r>
              <w:rPr>
                <w:rFonts w:ascii="Times New Roman"/>
                <w:sz w:val="21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硫化物(mg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/L</w:t>
            </w:r>
            <w:r>
              <w:rPr>
                <w:rFonts w:ascii="Times New Roman"/>
                <w:sz w:val="21"/>
                <w:highlight w:val="none"/>
              </w:rPr>
              <w:t>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＜0.40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＜0.40</w:t>
            </w:r>
          </w:p>
        </w:tc>
        <w:tc>
          <w:tcPr>
            <w:tcW w:w="1693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＜0.40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动植物油(mg/L)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0.06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 xml:space="preserve">L 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0.06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0.06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悬浮物(mg/L)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14</w:t>
            </w:r>
          </w:p>
        </w:tc>
        <w:tc>
          <w:tcPr>
            <w:tcW w:w="1693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氯离子(mg/L)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1.11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×10</w:t>
            </w:r>
            <w:r>
              <w:rPr>
                <w:rFonts w:hint="eastAsia" w:ascii="Times New Roman"/>
                <w:sz w:val="21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1.13×10³</w:t>
            </w:r>
          </w:p>
        </w:tc>
        <w:tc>
          <w:tcPr>
            <w:tcW w:w="1693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1.13×10³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五日生化需氧量(mg/L)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39.4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39.6</w:t>
            </w:r>
          </w:p>
        </w:tc>
        <w:tc>
          <w:tcPr>
            <w:tcW w:w="1693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39.4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58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9175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360" w:lineRule="auto"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/>
          <w:szCs w:val="24"/>
          <w:highlight w:val="none"/>
        </w:rPr>
        <w:t>固</w:t>
      </w:r>
      <w:r>
        <w:rPr>
          <w:rFonts w:hint="default" w:ascii="Times New Roman" w:hAnsi="Times New Roman" w:cs="Times New Roman"/>
          <w:b/>
          <w:szCs w:val="24"/>
          <w:highlight w:val="none"/>
          <w:lang w:eastAsia="zh-CN"/>
        </w:rPr>
        <w:t>体</w:t>
      </w:r>
      <w:r>
        <w:rPr>
          <w:rFonts w:hint="default" w:ascii="Times New Roman" w:hAnsi="Times New Roman" w:cs="Times New Roman"/>
          <w:b/>
          <w:szCs w:val="24"/>
          <w:highlight w:val="none"/>
        </w:rPr>
        <w:t>废</w:t>
      </w:r>
      <w:r>
        <w:rPr>
          <w:rFonts w:hint="default" w:ascii="Times New Roman" w:hAnsi="Times New Roman" w:cs="Times New Roman"/>
          <w:b/>
          <w:szCs w:val="24"/>
          <w:highlight w:val="none"/>
          <w:lang w:eastAsia="zh-CN"/>
        </w:rPr>
        <w:t>物</w:t>
      </w:r>
      <w:r>
        <w:rPr>
          <w:rFonts w:hint="default" w:ascii="Times New Roman" w:hAnsi="Times New Roman" w:cs="Times New Roman"/>
          <w:b/>
          <w:szCs w:val="24"/>
          <w:highlight w:val="none"/>
        </w:rPr>
        <w:t>检测结果表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 </w:instrText>
      </w:r>
      <w:r>
        <w:rPr>
          <w:rFonts w:hint="default" w:ascii="Times New Roman" w:hAnsi="Times New Roman" w:cs="Times New Roman"/>
          <w:highlight w:val="none"/>
        </w:rPr>
        <w:fldChar w:fldCharType="end"/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352"/>
        <w:gridCol w:w="2581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2352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581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2022.06.02</w:t>
            </w:r>
          </w:p>
        </w:tc>
        <w:tc>
          <w:tcPr>
            <w:tcW w:w="2352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一般固体废物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E:</w:t>
            </w:r>
            <w:r>
              <w:rPr>
                <w:rFonts w:ascii="Times New Roman"/>
                <w:sz w:val="21"/>
                <w:highlight w:val="none"/>
              </w:rPr>
              <w:t>119.7497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，</w:t>
            </w:r>
            <w:r>
              <w:rPr>
                <w:rFonts w:ascii="Times New Roman"/>
                <w:sz w:val="21"/>
                <w:highlight w:val="none"/>
              </w:rPr>
              <w:t>N:36.414827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5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2201001-7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（mg/L）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 xml:space="preserve">0.58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235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297" w:type="dxa"/>
            <w:gridSpan w:val="3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浸出液依据HJ299进行制备</w:t>
            </w:r>
          </w:p>
        </w:tc>
      </w:tr>
    </w:tbl>
    <w:p>
      <w:pPr>
        <w:pStyle w:val="17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widowControl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  <w:bookmarkStart w:id="0" w:name="_GoBack"/>
      <w:bookmarkEnd w:id="0"/>
    </w:p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傅立叶红外交换光谱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nicolet iS5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立式压力蒸汽灭菌锅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LDZX-50FBS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PH计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FE 20-K型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COD恒温加热器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DS-9012A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  <w:highlight w:val="none"/>
              </w:rPr>
              <w:drawing>
                <wp:inline distT="0" distB="0" distL="0" distR="0">
                  <wp:extent cx="1143000" cy="1143000"/>
                  <wp:effectExtent l="0" t="0" r="0" b="0"/>
                  <wp:docPr id="1268" name="Generated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Generated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</w:t>
    </w:r>
    <w:r>
      <w:rPr>
        <w:rFonts w:hint="eastAsia"/>
        <w:sz w:val="24"/>
        <w:szCs w:val="24"/>
        <w:lang w:val="en-US" w:eastAsia="zh-CN"/>
      </w:rPr>
      <w:t xml:space="preserve">           </w:t>
    </w:r>
    <w:r>
      <w:rPr>
        <w:rFonts w:hint="eastAsia"/>
        <w:sz w:val="24"/>
        <w:szCs w:val="24"/>
      </w:rPr>
      <w:t xml:space="preserve">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2201001-7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ZTBlNTc1NTc0NmQ0MTdlYTQ0NzUyZTdlZmI1ZGYifQ=="/>
  </w:docVars>
  <w:rsids>
    <w:rsidRoot w:val="00000000"/>
    <w:rsid w:val="0E0A37A1"/>
    <w:rsid w:val="19BC09CE"/>
    <w:rsid w:val="1C5E7B23"/>
    <w:rsid w:val="209F02B9"/>
    <w:rsid w:val="22C60169"/>
    <w:rsid w:val="2D2D1817"/>
    <w:rsid w:val="3082583C"/>
    <w:rsid w:val="310D53A7"/>
    <w:rsid w:val="40237877"/>
    <w:rsid w:val="41C71230"/>
    <w:rsid w:val="46586D4B"/>
    <w:rsid w:val="4672343C"/>
    <w:rsid w:val="491E48A8"/>
    <w:rsid w:val="493B7B21"/>
    <w:rsid w:val="54714DBF"/>
    <w:rsid w:val="5FAA4EEF"/>
    <w:rsid w:val="603B2BFE"/>
    <w:rsid w:val="618C45AA"/>
    <w:rsid w:val="6E972A36"/>
    <w:rsid w:val="6F661068"/>
    <w:rsid w:val="75A9159E"/>
    <w:rsid w:val="76D0015E"/>
    <w:rsid w:val="782B1B26"/>
    <w:rsid w:val="7B03138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798f0a60-3c42-42cc-a2b4-beb1e38dcb0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Body Text First Indent 2_3174557e-5d7a-4ed9-a522-ef2e24c9d9b3"/>
    <w:basedOn w:val="3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_c1041e8a-58e1-448c-acb4-4ace7ead064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1">
    <w:name w:val="Normal_4b0be7eb-57c2-47f7-9804-f74b358f0ed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afb9dcb3-d584-48a4-ac88-52a52ca51832}">
  <ds:schemaRefs/>
</ds:datastoreItem>
</file>

<file path=customXml/itemProps2.xml><?xml version="1.0" encoding="utf-8"?>
<ds:datastoreItem xmlns:ds="http://schemas.openxmlformats.org/officeDocument/2006/customXml" ds:itemID="{abf74acf-e280-4bbd-a194-8bed29e7f361}">
  <ds:schemaRefs/>
</ds:datastoreItem>
</file>

<file path=customXml/itemProps3.xml><?xml version="1.0" encoding="utf-8"?>
<ds:datastoreItem xmlns:ds="http://schemas.openxmlformats.org/officeDocument/2006/customXml" ds:itemID="{d7b22526-58f6-496d-8c3f-37371a9c1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1820</Words>
  <Characters>2573</Characters>
  <Lines>1</Lines>
  <Paragraphs>1</Paragraphs>
  <TotalTime>3</TotalTime>
  <ScaleCrop>false</ScaleCrop>
  <LinksUpToDate>false</LinksUpToDate>
  <CharactersWithSpaces>2640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Administrator</cp:lastModifiedBy>
  <dcterms:modified xsi:type="dcterms:W3CDTF">2022-06-21T04:31:00Z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78051D085B7E4006A20D0E93BFE67DDD</vt:lpwstr>
  </property>
</Properties>
</file>